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494E5324" w:rsidR="007E5714" w:rsidRPr="00C32836" w:rsidRDefault="00533604"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sidRPr="00C32836">
        <w:rPr>
          <w:rStyle w:val="En-ttedemessagetiquette"/>
          <w:rFonts w:asciiTheme="minorHAnsi" w:hAnsiTheme="minorHAnsi" w:cstheme="minorHAnsi"/>
          <w:b/>
          <w:bCs/>
          <w:smallCaps/>
          <w:color w:val="365F91" w:themeColor="accent1" w:themeShade="BF"/>
          <w:sz w:val="36"/>
          <w:szCs w:val="36"/>
        </w:rPr>
        <w:t>COLORETTE</w:t>
      </w:r>
      <w:r w:rsidR="001133C1" w:rsidRPr="00C32836">
        <w:rPr>
          <w:rStyle w:val="En-ttedemessagetiquette"/>
          <w:rFonts w:asciiTheme="minorHAnsi" w:hAnsiTheme="minorHAnsi" w:cstheme="minorHAnsi"/>
          <w:b/>
          <w:bCs/>
          <w:smallCaps/>
          <w:color w:val="365F91" w:themeColor="accent1" w:themeShade="BF"/>
          <w:sz w:val="36"/>
          <w:szCs w:val="36"/>
        </w:rPr>
        <w:t xml:space="preserve"> ACOUSTICPLUS 19 dB</w:t>
      </w:r>
    </w:p>
    <w:p w14:paraId="74C9DDD0" w14:textId="36813887" w:rsidR="00534C66" w:rsidRPr="00C32836"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C32836" w:rsidRDefault="007E5714" w:rsidP="00534C66">
      <w:pPr>
        <w:autoSpaceDE w:val="0"/>
        <w:autoSpaceDN w:val="0"/>
        <w:adjustRightInd w:val="0"/>
        <w:jc w:val="both"/>
        <w:rPr>
          <w:rFonts w:asciiTheme="minorHAnsi" w:hAnsiTheme="minorHAnsi" w:cstheme="minorHAnsi"/>
          <w:lang w:eastAsia="ko-KR"/>
        </w:rPr>
      </w:pPr>
    </w:p>
    <w:bookmarkEnd w:id="0"/>
    <w:p w14:paraId="35C10FBA" w14:textId="3F57221A" w:rsidR="001133C1" w:rsidRDefault="00533604" w:rsidP="001133C1">
      <w:pPr>
        <w:jc w:val="both"/>
        <w:rPr>
          <w:rFonts w:asciiTheme="minorHAnsi" w:hAnsiTheme="minorHAnsi" w:cstheme="minorHAnsi"/>
          <w:sz w:val="22"/>
          <w:szCs w:val="22"/>
        </w:rPr>
      </w:pPr>
      <w:r>
        <w:rPr>
          <w:rFonts w:asciiTheme="minorHAnsi" w:hAnsiTheme="minorHAnsi" w:cstheme="minorHAnsi"/>
          <w:sz w:val="22"/>
          <w:szCs w:val="22"/>
        </w:rPr>
        <w:t>COLORETTE</w:t>
      </w:r>
      <w:r w:rsidR="001133C1" w:rsidRPr="001133C1">
        <w:rPr>
          <w:rFonts w:asciiTheme="minorHAnsi" w:hAnsiTheme="minorHAnsi" w:cstheme="minorHAnsi"/>
          <w:sz w:val="22"/>
          <w:szCs w:val="22"/>
        </w:rPr>
        <w:t xml:space="preserve"> ACOUSTICPLUS est un revêtement de sol acoustique en linoleum calandré, disponible en rouleau de 2m de large, offrant une excellente résistance à l’usure dans les zones à fort trafic. </w:t>
      </w:r>
    </w:p>
    <w:p w14:paraId="71F44A97" w14:textId="77777777" w:rsidR="001133C1" w:rsidRDefault="001133C1" w:rsidP="001133C1">
      <w:pPr>
        <w:jc w:val="both"/>
        <w:rPr>
          <w:rFonts w:asciiTheme="minorHAnsi" w:hAnsiTheme="minorHAnsi" w:cstheme="minorHAnsi"/>
          <w:sz w:val="22"/>
          <w:szCs w:val="22"/>
        </w:rPr>
      </w:pPr>
    </w:p>
    <w:p w14:paraId="2FBADAB5" w14:textId="4A852BF6"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Son poids est de 3500g/m² en 4,0mm. </w:t>
      </w:r>
    </w:p>
    <w:p w14:paraId="483A4082" w14:textId="77777777" w:rsidR="001133C1" w:rsidRDefault="001133C1" w:rsidP="001133C1">
      <w:pPr>
        <w:jc w:val="both"/>
        <w:rPr>
          <w:rFonts w:asciiTheme="minorHAnsi" w:hAnsiTheme="minorHAnsi" w:cstheme="minorHAnsi"/>
          <w:sz w:val="22"/>
          <w:szCs w:val="22"/>
        </w:rPr>
      </w:pPr>
    </w:p>
    <w:p w14:paraId="2E651E1B" w14:textId="385CBCED"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Le revêtement présente un décor </w:t>
      </w:r>
      <w:r w:rsidR="00533604">
        <w:rPr>
          <w:rFonts w:asciiTheme="minorHAnsi" w:hAnsiTheme="minorHAnsi" w:cstheme="minorHAnsi"/>
          <w:sz w:val="22"/>
          <w:szCs w:val="22"/>
        </w:rPr>
        <w:t>moucheté</w:t>
      </w:r>
      <w:r w:rsidRPr="001133C1">
        <w:rPr>
          <w:rFonts w:asciiTheme="minorHAnsi" w:hAnsiTheme="minorHAnsi" w:cstheme="minorHAnsi"/>
          <w:sz w:val="22"/>
          <w:szCs w:val="22"/>
        </w:rPr>
        <w:t xml:space="preserve"> et une finition matte. Il est composé de matières premières</w:t>
      </w:r>
      <w:r w:rsidR="00135F66">
        <w:rPr>
          <w:rFonts w:asciiTheme="minorHAnsi" w:hAnsiTheme="minorHAnsi" w:cstheme="minorHAnsi"/>
          <w:sz w:val="22"/>
          <w:szCs w:val="22"/>
        </w:rPr>
        <w:t xml:space="preserve"> naturelles</w:t>
      </w:r>
      <w:r w:rsidRPr="001133C1">
        <w:rPr>
          <w:rFonts w:asciiTheme="minorHAnsi" w:hAnsiTheme="minorHAnsi" w:cstheme="minorHAnsi"/>
          <w:sz w:val="22"/>
          <w:szCs w:val="22"/>
        </w:rPr>
        <w:t xml:space="preserve"> </w:t>
      </w:r>
      <w:r w:rsidR="00135F66">
        <w:rPr>
          <w:rFonts w:asciiTheme="minorHAnsi" w:hAnsiTheme="minorHAnsi" w:cstheme="minorHAnsi"/>
          <w:sz w:val="22"/>
          <w:szCs w:val="22"/>
        </w:rPr>
        <w:t>(</w:t>
      </w:r>
      <w:proofErr w:type="spellStart"/>
      <w:r w:rsidRPr="001133C1">
        <w:rPr>
          <w:rFonts w:asciiTheme="minorHAnsi" w:hAnsiTheme="minorHAnsi" w:cstheme="minorHAnsi"/>
          <w:sz w:val="22"/>
          <w:szCs w:val="22"/>
        </w:rPr>
        <w:t>bio</w:t>
      </w:r>
      <w:r w:rsidR="00EB7397">
        <w:rPr>
          <w:rFonts w:asciiTheme="minorHAnsi" w:hAnsiTheme="minorHAnsi" w:cstheme="minorHAnsi"/>
          <w:sz w:val="22"/>
          <w:szCs w:val="22"/>
        </w:rPr>
        <w:t>-</w:t>
      </w:r>
      <w:r w:rsidRPr="001133C1">
        <w:rPr>
          <w:rFonts w:asciiTheme="minorHAnsi" w:hAnsiTheme="minorHAnsi" w:cstheme="minorHAnsi"/>
          <w:sz w:val="22"/>
          <w:szCs w:val="22"/>
        </w:rPr>
        <w:t>sourcées</w:t>
      </w:r>
      <w:proofErr w:type="spellEnd"/>
      <w:r w:rsidR="00135F66">
        <w:rPr>
          <w:rFonts w:asciiTheme="minorHAnsi" w:hAnsiTheme="minorHAnsi" w:cstheme="minorHAnsi"/>
          <w:sz w:val="22"/>
          <w:szCs w:val="22"/>
        </w:rPr>
        <w:t xml:space="preserve"> et minérales) : </w:t>
      </w:r>
      <w:r w:rsidRPr="001133C1">
        <w:rPr>
          <w:rFonts w:asciiTheme="minorHAnsi" w:hAnsiTheme="minorHAnsi" w:cstheme="minorHAnsi"/>
          <w:sz w:val="22"/>
          <w:szCs w:val="22"/>
        </w:rPr>
        <w:t xml:space="preserve">huile de lin, poudre de bois, résine, liège, charge minérale et toile de jute, rapidement renouvelables et intègre une sous-couche en mousse recyclée de 1,5mm, assurant une réduction des bruits de chocs de 19dB. </w:t>
      </w:r>
    </w:p>
    <w:p w14:paraId="3B8206AA" w14:textId="77777777" w:rsidR="001133C1" w:rsidRDefault="001133C1" w:rsidP="001133C1">
      <w:pPr>
        <w:jc w:val="both"/>
        <w:rPr>
          <w:rFonts w:asciiTheme="minorHAnsi" w:hAnsiTheme="minorHAnsi" w:cstheme="minorHAnsi"/>
          <w:sz w:val="22"/>
          <w:szCs w:val="22"/>
        </w:rPr>
      </w:pPr>
    </w:p>
    <w:p w14:paraId="7840CF2B" w14:textId="1DAF21E0" w:rsidR="001133C1" w:rsidRPr="001133C1" w:rsidRDefault="00BD3302" w:rsidP="001133C1">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1133C1" w:rsidRPr="001133C1">
        <w:rPr>
          <w:rFonts w:asciiTheme="minorHAnsi" w:hAnsiTheme="minorHAnsi" w:cstheme="minorHAnsi"/>
          <w:sz w:val="22"/>
          <w:szCs w:val="22"/>
        </w:rPr>
        <w:t xml:space="preserve">, laque à base d’acrylate photo-polymérisé, obtenu par </w:t>
      </w:r>
      <w:r w:rsidR="00FD4C3A">
        <w:rPr>
          <w:rFonts w:asciiTheme="minorHAnsi" w:hAnsiTheme="minorHAnsi" w:cstheme="minorHAnsi"/>
          <w:sz w:val="22"/>
          <w:szCs w:val="22"/>
        </w:rPr>
        <w:t>triple</w:t>
      </w:r>
      <w:r w:rsidR="001133C1" w:rsidRPr="001133C1">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 </w:t>
      </w:r>
    </w:p>
    <w:p w14:paraId="5956E2B8" w14:textId="77777777" w:rsidR="001133C1" w:rsidRDefault="001133C1" w:rsidP="001133C1">
      <w:pPr>
        <w:jc w:val="both"/>
        <w:rPr>
          <w:rFonts w:asciiTheme="minorHAnsi" w:hAnsiTheme="minorHAnsi" w:cstheme="minorHAnsi"/>
          <w:sz w:val="22"/>
          <w:szCs w:val="22"/>
        </w:rPr>
      </w:pPr>
    </w:p>
    <w:p w14:paraId="69588AE5" w14:textId="06467DDB"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Le traitement de surface ne nécessite aucune métallisation durant tout le cycle de vie du produit. Toutefois, il peut être facilement métallisé si le client le souhaite. </w:t>
      </w:r>
    </w:p>
    <w:p w14:paraId="6300A173" w14:textId="77777777" w:rsidR="001133C1" w:rsidRDefault="001133C1" w:rsidP="001133C1">
      <w:pPr>
        <w:jc w:val="both"/>
        <w:rPr>
          <w:rFonts w:asciiTheme="minorHAnsi" w:hAnsiTheme="minorHAnsi" w:cstheme="minorHAnsi"/>
          <w:sz w:val="22"/>
          <w:szCs w:val="22"/>
        </w:rPr>
      </w:pPr>
    </w:p>
    <w:p w14:paraId="04D57126" w14:textId="75449477"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Le produit assure une parfaite qualité de l’air intérieur (TVOC à 28 jours (EN 16516) &lt; 10 μg / m</w:t>
      </w:r>
      <w:r w:rsidRPr="001133C1">
        <w:rPr>
          <w:rFonts w:asciiTheme="minorHAnsi" w:hAnsiTheme="minorHAnsi" w:cstheme="minorHAnsi"/>
          <w:sz w:val="22"/>
          <w:szCs w:val="22"/>
          <w:vertAlign w:val="superscript"/>
        </w:rPr>
        <w:t>3</w:t>
      </w:r>
      <w:r w:rsidRPr="001133C1">
        <w:rPr>
          <w:rFonts w:asciiTheme="minorHAnsi" w:hAnsiTheme="minorHAnsi" w:cstheme="minorHAnsi"/>
          <w:sz w:val="22"/>
          <w:szCs w:val="22"/>
        </w:rPr>
        <w:t xml:space="preserve">) et est classé A+ (la meilleure classe) dans le cadre de l’étiquetage sanitaire. Il est certifié Floorscore et M1. </w:t>
      </w:r>
    </w:p>
    <w:p w14:paraId="3ED8FA12" w14:textId="77777777" w:rsidR="001133C1" w:rsidRDefault="001133C1" w:rsidP="001133C1">
      <w:pPr>
        <w:jc w:val="both"/>
        <w:rPr>
          <w:rFonts w:asciiTheme="minorHAnsi" w:hAnsiTheme="minorHAnsi" w:cstheme="minorHAnsi"/>
          <w:sz w:val="22"/>
          <w:szCs w:val="22"/>
        </w:rPr>
      </w:pPr>
    </w:p>
    <w:p w14:paraId="0B627F3F" w14:textId="2A3E9B4F"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Le revêtement est 100% recyclable, composé d’un minimum de 25% de matériaux recyclés et peut intégrer jusqu’à 40% de matériaux recyclés, 100% contrôlés et conformes à la réglementation REACH. </w:t>
      </w:r>
    </w:p>
    <w:p w14:paraId="4ABFE035" w14:textId="77777777" w:rsidR="001133C1" w:rsidRDefault="001133C1" w:rsidP="001133C1">
      <w:pPr>
        <w:jc w:val="both"/>
        <w:rPr>
          <w:rFonts w:asciiTheme="minorHAnsi" w:hAnsiTheme="minorHAnsi" w:cstheme="minorHAnsi"/>
          <w:sz w:val="22"/>
          <w:szCs w:val="22"/>
        </w:rPr>
      </w:pPr>
    </w:p>
    <w:p w14:paraId="5CB84F74" w14:textId="752DD95D"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1133C1">
        <w:rPr>
          <w:rFonts w:asciiTheme="minorHAnsi" w:hAnsiTheme="minorHAnsi" w:cstheme="minorHAnsi"/>
          <w:sz w:val="22"/>
          <w:szCs w:val="22"/>
        </w:rPr>
        <w:t>Cradle</w:t>
      </w:r>
      <w:proofErr w:type="spellEnd"/>
      <w:r w:rsidRPr="001133C1">
        <w:rPr>
          <w:rFonts w:asciiTheme="minorHAnsi" w:hAnsiTheme="minorHAnsi" w:cstheme="minorHAnsi"/>
          <w:sz w:val="22"/>
          <w:szCs w:val="22"/>
        </w:rPr>
        <w:t xml:space="preserve"> to </w:t>
      </w:r>
      <w:proofErr w:type="spellStart"/>
      <w:r w:rsidRPr="001133C1">
        <w:rPr>
          <w:rFonts w:asciiTheme="minorHAnsi" w:hAnsiTheme="minorHAnsi" w:cstheme="minorHAnsi"/>
          <w:sz w:val="22"/>
          <w:szCs w:val="22"/>
        </w:rPr>
        <w:t>Cradle</w:t>
      </w:r>
      <w:proofErr w:type="spellEnd"/>
      <w:r w:rsidR="00FD4C3A">
        <w:rPr>
          <w:rFonts w:asciiTheme="minorHAnsi" w:hAnsiTheme="minorHAnsi" w:cstheme="minorHAnsi"/>
          <w:sz w:val="22"/>
          <w:szCs w:val="22"/>
        </w:rPr>
        <w:t xml:space="preserve"> Bronze</w:t>
      </w:r>
      <w:r w:rsidRPr="001133C1">
        <w:rPr>
          <w:rFonts w:asciiTheme="minorHAnsi" w:hAnsiTheme="minorHAnsi" w:cstheme="minorHAnsi"/>
          <w:sz w:val="22"/>
          <w:szCs w:val="22"/>
        </w:rPr>
        <w:t> ». Sa Déclaration de Performance Environnementale (EPD) certifiée par un laboratoire externe indique une neutralité carbone sur les premières étapes de son cycle de vie (« </w:t>
      </w:r>
      <w:proofErr w:type="spellStart"/>
      <w:r w:rsidRPr="001133C1">
        <w:rPr>
          <w:rFonts w:asciiTheme="minorHAnsi" w:hAnsiTheme="minorHAnsi" w:cstheme="minorHAnsi"/>
          <w:sz w:val="22"/>
          <w:szCs w:val="22"/>
        </w:rPr>
        <w:t>from</w:t>
      </w:r>
      <w:proofErr w:type="spellEnd"/>
      <w:r w:rsidRPr="001133C1">
        <w:rPr>
          <w:rFonts w:asciiTheme="minorHAnsi" w:hAnsiTheme="minorHAnsi" w:cstheme="minorHAnsi"/>
          <w:sz w:val="22"/>
          <w:szCs w:val="22"/>
        </w:rPr>
        <w:t xml:space="preserve"> </w:t>
      </w:r>
      <w:proofErr w:type="spellStart"/>
      <w:r w:rsidRPr="001133C1">
        <w:rPr>
          <w:rFonts w:asciiTheme="minorHAnsi" w:hAnsiTheme="minorHAnsi" w:cstheme="minorHAnsi"/>
          <w:sz w:val="22"/>
          <w:szCs w:val="22"/>
        </w:rPr>
        <w:t>cradle</w:t>
      </w:r>
      <w:proofErr w:type="spellEnd"/>
      <w:r w:rsidRPr="001133C1">
        <w:rPr>
          <w:rFonts w:asciiTheme="minorHAnsi" w:hAnsiTheme="minorHAnsi" w:cstheme="minorHAnsi"/>
          <w:sz w:val="22"/>
          <w:szCs w:val="22"/>
        </w:rPr>
        <w:t xml:space="preserve"> to </w:t>
      </w:r>
      <w:proofErr w:type="spellStart"/>
      <w:r w:rsidRPr="001133C1">
        <w:rPr>
          <w:rFonts w:asciiTheme="minorHAnsi" w:hAnsiTheme="minorHAnsi" w:cstheme="minorHAnsi"/>
          <w:sz w:val="22"/>
          <w:szCs w:val="22"/>
        </w:rPr>
        <w:t>gate</w:t>
      </w:r>
      <w:proofErr w:type="spellEnd"/>
      <w:r w:rsidRPr="001133C1">
        <w:rPr>
          <w:rFonts w:asciiTheme="minorHAnsi" w:hAnsiTheme="minorHAnsi" w:cstheme="minorHAnsi"/>
          <w:sz w:val="22"/>
          <w:szCs w:val="22"/>
        </w:rPr>
        <w:t xml:space="preserve"> »). </w:t>
      </w:r>
    </w:p>
    <w:p w14:paraId="00B00A6E" w14:textId="77777777" w:rsidR="001133C1" w:rsidRDefault="001133C1" w:rsidP="001133C1">
      <w:pPr>
        <w:jc w:val="both"/>
        <w:rPr>
          <w:rFonts w:asciiTheme="minorHAnsi" w:hAnsiTheme="minorHAnsi" w:cstheme="minorHAnsi"/>
          <w:sz w:val="22"/>
          <w:szCs w:val="22"/>
        </w:rPr>
      </w:pPr>
    </w:p>
    <w:p w14:paraId="25CCFE7E" w14:textId="1F6E1E44"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Le cordon de soudure </w:t>
      </w:r>
      <w:r w:rsidR="00FD4C3A">
        <w:rPr>
          <w:rFonts w:asciiTheme="minorHAnsi" w:hAnsiTheme="minorHAnsi" w:cstheme="minorHAnsi"/>
          <w:sz w:val="22"/>
          <w:szCs w:val="22"/>
        </w:rPr>
        <w:t>uni</w:t>
      </w:r>
      <w:r w:rsidRPr="001133C1">
        <w:rPr>
          <w:rFonts w:asciiTheme="minorHAnsi" w:hAnsiTheme="minorHAnsi" w:cstheme="minorHAnsi"/>
          <w:sz w:val="22"/>
          <w:szCs w:val="22"/>
        </w:rPr>
        <w:t xml:space="preserve"> rend les raccords entre les lés invisibles. </w:t>
      </w:r>
    </w:p>
    <w:p w14:paraId="406B5173" w14:textId="77777777" w:rsidR="001133C1" w:rsidRDefault="001133C1" w:rsidP="001133C1">
      <w:pPr>
        <w:jc w:val="both"/>
        <w:rPr>
          <w:rFonts w:asciiTheme="minorHAnsi" w:hAnsiTheme="minorHAnsi" w:cstheme="minorHAnsi"/>
          <w:sz w:val="22"/>
          <w:szCs w:val="22"/>
        </w:rPr>
      </w:pPr>
    </w:p>
    <w:p w14:paraId="5E8BCC46" w14:textId="77777777" w:rsidR="00FD4C3A" w:rsidRPr="007E5714" w:rsidRDefault="00FD4C3A" w:rsidP="00FD4C3A">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w:t>
      </w:r>
      <w:proofErr w:type="gramStart"/>
      <w:r w:rsidRPr="00BB15E7">
        <w:rPr>
          <w:rFonts w:asciiTheme="minorHAnsi" w:hAnsiTheme="minorHAnsi" w:cstheme="minorHAnsi"/>
          <w:sz w:val="22"/>
          <w:szCs w:val="22"/>
        </w:rPr>
        <w:t xml:space="preserve">2801 </w:t>
      </w:r>
      <w:r>
        <w:rPr>
          <w:rFonts w:asciiTheme="minorHAnsi" w:hAnsiTheme="minorHAnsi" w:cstheme="minorHAnsi"/>
          <w:sz w:val="22"/>
          <w:szCs w:val="22"/>
        </w:rPr>
        <w:t xml:space="preserve"> et</w:t>
      </w:r>
      <w:proofErr w:type="gramEnd"/>
      <w:r>
        <w:rPr>
          <w:rFonts w:asciiTheme="minorHAnsi" w:hAnsiTheme="minorHAnsi" w:cstheme="minorHAnsi"/>
          <w:sz w:val="22"/>
          <w:szCs w:val="22"/>
        </w:rPr>
        <w:t xml:space="preserve">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28570F0F" w14:textId="77777777" w:rsidR="001133C1" w:rsidRDefault="001133C1" w:rsidP="001133C1">
      <w:pPr>
        <w:jc w:val="both"/>
        <w:rPr>
          <w:rFonts w:asciiTheme="minorHAnsi" w:hAnsiTheme="minorHAnsi" w:cstheme="minorHAnsi"/>
          <w:sz w:val="22"/>
          <w:szCs w:val="22"/>
        </w:rPr>
      </w:pPr>
    </w:p>
    <w:p w14:paraId="7CDDA566" w14:textId="268D4D50" w:rsidR="002C6C98" w:rsidRPr="007E5714" w:rsidRDefault="004C40D4" w:rsidP="00B34590">
      <w:pPr>
        <w:jc w:val="both"/>
        <w:rPr>
          <w:rFonts w:asciiTheme="minorHAnsi" w:hAnsiTheme="minorHAnsi" w:cstheme="minorHAnsi"/>
          <w:sz w:val="22"/>
          <w:szCs w:val="22"/>
        </w:rPr>
      </w:pPr>
      <w:r w:rsidRPr="001133C1">
        <w:rPr>
          <w:rFonts w:asciiTheme="minorHAnsi" w:hAnsiTheme="minorHAnsi" w:cstheme="minorHAnsi"/>
          <w:sz w:val="22"/>
          <w:szCs w:val="22"/>
        </w:rPr>
        <w:t xml:space="preserve">Il est </w:t>
      </w:r>
      <w:r>
        <w:rPr>
          <w:rFonts w:asciiTheme="minorHAnsi" w:hAnsiTheme="minorHAnsi" w:cstheme="minorHAnsi"/>
          <w:sz w:val="22"/>
          <w:szCs w:val="22"/>
        </w:rPr>
        <w:t>apte à l’emploi dans les locaux classés U4 P3 E1/2 C2</w:t>
      </w:r>
      <w:r w:rsidRPr="001133C1">
        <w:rPr>
          <w:rFonts w:asciiTheme="minorHAnsi" w:hAnsiTheme="minorHAnsi" w:cstheme="minorHAnsi"/>
          <w:sz w:val="22"/>
          <w:szCs w:val="22"/>
        </w:rPr>
        <w:t xml:space="preserve"> et Cfl-s1 au feu</w:t>
      </w:r>
      <w:r w:rsidR="001133C1" w:rsidRPr="001133C1">
        <w:rPr>
          <w:rFonts w:asciiTheme="minorHAnsi" w:hAnsiTheme="minorHAnsi" w:cstheme="minorHAnsi"/>
          <w:sz w:val="22"/>
          <w:szCs w:val="22"/>
        </w:rPr>
        <w:t>.</w:t>
      </w:r>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3793" w14:textId="77777777" w:rsidR="001E02E8" w:rsidRDefault="001E02E8">
      <w:r>
        <w:separator/>
      </w:r>
    </w:p>
  </w:endnote>
  <w:endnote w:type="continuationSeparator" w:id="0">
    <w:p w14:paraId="18042875" w14:textId="77777777" w:rsidR="001E02E8" w:rsidRDefault="001E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20104040401010201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561500F5" w:rsidR="00B34590" w:rsidRPr="00B34590" w:rsidRDefault="00B34590" w:rsidP="00A959B3">
          <w:pPr>
            <w:pStyle w:val="Pieddepage"/>
            <w:spacing w:before="0"/>
            <w:rPr>
              <w:rStyle w:val="Numrodepage"/>
              <w:rFonts w:ascii="Calibri" w:hAnsi="Calibri" w:cs="Calibri"/>
              <w:sz w:val="22"/>
              <w:szCs w:val="22"/>
            </w:rPr>
          </w:pPr>
          <w:r w:rsidRPr="00B34590">
            <w:rPr>
              <w:rStyle w:val="Numrodepage"/>
              <w:rFonts w:ascii="Calibri" w:hAnsi="Calibri" w:cs="Calibri"/>
              <w:sz w:val="22"/>
              <w:szCs w:val="22"/>
            </w:rPr>
            <w:t xml:space="preserve">Texte de prescription                                                                                                                                                                                             </w:t>
          </w:r>
          <w:proofErr w:type="gramStart"/>
          <w:r w:rsidR="00135F66">
            <w:rPr>
              <w:rStyle w:val="Numrodepage"/>
              <w:rFonts w:ascii="Calibri" w:hAnsi="Calibri" w:cs="Calibri"/>
              <w:sz w:val="22"/>
              <w:szCs w:val="22"/>
            </w:rPr>
            <w:t>Janvier</w:t>
          </w:r>
          <w:proofErr w:type="gramEnd"/>
          <w:r w:rsidRPr="00B34590">
            <w:rPr>
              <w:rStyle w:val="Numrodepage"/>
              <w:rFonts w:ascii="Calibri" w:hAnsi="Calibri" w:cs="Calibri"/>
              <w:sz w:val="22"/>
              <w:szCs w:val="22"/>
            </w:rPr>
            <w:t xml:space="preserve"> 202</w:t>
          </w:r>
          <w:r w:rsidR="00135F66">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41AC" w14:textId="77777777" w:rsidR="001E02E8" w:rsidRDefault="001E02E8">
      <w:r>
        <w:separator/>
      </w:r>
    </w:p>
  </w:footnote>
  <w:footnote w:type="continuationSeparator" w:id="0">
    <w:p w14:paraId="410248D0" w14:textId="77777777" w:rsidR="001E02E8" w:rsidRDefault="001E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5F66"/>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02E8"/>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2C5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0D4"/>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5E4D"/>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5230"/>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40D3"/>
    <w:rsid w:val="008C5128"/>
    <w:rsid w:val="008C69A5"/>
    <w:rsid w:val="008D363E"/>
    <w:rsid w:val="008D411F"/>
    <w:rsid w:val="008D4C58"/>
    <w:rsid w:val="008D637F"/>
    <w:rsid w:val="008D72F4"/>
    <w:rsid w:val="008E226E"/>
    <w:rsid w:val="008E3338"/>
    <w:rsid w:val="008E40ED"/>
    <w:rsid w:val="008E5227"/>
    <w:rsid w:val="008E6055"/>
    <w:rsid w:val="008E726F"/>
    <w:rsid w:val="008F3D3E"/>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287E"/>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3302"/>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2836"/>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1F53"/>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9FA"/>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71"/>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B7397"/>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4C3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77046659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DD20D561-DD30-43B4-A6B5-D0F7BC92EEFA}">
  <ds:schemaRefs>
    <ds:schemaRef ds:uri="http://schemas.openxmlformats.org/officeDocument/2006/bibliography"/>
  </ds:schemaRefs>
</ds:datastoreItem>
</file>

<file path=customXml/itemProps4.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354</Words>
  <Characters>1952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DUTHEY Romain</cp:lastModifiedBy>
  <cp:revision>17</cp:revision>
  <cp:lastPrinted>2020-05-05T13:18:00Z</cp:lastPrinted>
  <dcterms:created xsi:type="dcterms:W3CDTF">2020-05-05T10:18:00Z</dcterms:created>
  <dcterms:modified xsi:type="dcterms:W3CDTF">2023-04-05T08:57:00Z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